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E46" w:rsidRPr="00792916" w:rsidRDefault="00202E46" w:rsidP="00202E4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792916">
        <w:rPr>
          <w:rStyle w:val="af9"/>
          <w:rFonts w:ascii="Arial" w:eastAsia="宋体" w:hAnsi="Arial" w:cs="Arial"/>
        </w:rPr>
        <w:t>3GPP TSG-RAN WG4 Meeting # 94-e-Bis</w:t>
      </w:r>
      <w:r w:rsidRPr="00792916" w:rsidDel="00277FAB">
        <w:rPr>
          <w:rStyle w:val="af9"/>
          <w:rFonts w:ascii="Arial" w:eastAsia="宋体" w:hAnsi="Arial" w:cs="Arial"/>
        </w:rPr>
        <w:t xml:space="preserve"> </w:t>
      </w:r>
      <w:r>
        <w:rPr>
          <w:rStyle w:val="af9"/>
          <w:rFonts w:ascii="Arial" w:eastAsia="宋体" w:hAnsi="Arial" w:cs="Arial" w:hint="eastAsia"/>
        </w:rPr>
        <w:t xml:space="preserve">                                                      </w:t>
      </w:r>
      <w:r w:rsidRPr="00DB1C33">
        <w:rPr>
          <w:rStyle w:val="af9"/>
          <w:rFonts w:ascii="Arial" w:eastAsia="宋体" w:hAnsi="Arial" w:cs="Arial"/>
        </w:rPr>
        <w:t>R4-200</w:t>
      </w:r>
      <w:r w:rsidRPr="00DB1C33">
        <w:rPr>
          <w:rStyle w:val="af9"/>
          <w:rFonts w:ascii="Arial" w:eastAsia="宋体" w:hAnsi="Arial" w:cs="Arial" w:hint="eastAsia"/>
        </w:rPr>
        <w:t>331</w:t>
      </w:r>
      <w:r>
        <w:rPr>
          <w:rStyle w:val="af9"/>
          <w:rFonts w:ascii="Arial" w:eastAsia="宋体" w:hAnsi="Arial" w:cs="Arial" w:hint="eastAsia"/>
        </w:rPr>
        <w:t>0</w:t>
      </w:r>
    </w:p>
    <w:p w:rsidR="00202E46" w:rsidRPr="00792916" w:rsidRDefault="00202E46" w:rsidP="00202E46">
      <w:pPr>
        <w:tabs>
          <w:tab w:val="left" w:pos="8280"/>
        </w:tabs>
        <w:overflowPunct/>
        <w:autoSpaceDE/>
        <w:autoSpaceDN/>
        <w:adjustRightInd/>
        <w:spacing w:before="0" w:afterLines="20" w:after="48"/>
        <w:textAlignment w:val="auto"/>
        <w:rPr>
          <w:rStyle w:val="af9"/>
          <w:rFonts w:ascii="Arial" w:eastAsia="宋体" w:hAnsi="Arial" w:cs="Arial"/>
        </w:rPr>
      </w:pPr>
      <w:r w:rsidRPr="00792916">
        <w:rPr>
          <w:rStyle w:val="af9"/>
          <w:rFonts w:ascii="Arial" w:eastAsia="宋体" w:hAnsi="Arial" w:cs="Arial"/>
        </w:rPr>
        <w:t>Electronic Meeting, 20</w:t>
      </w:r>
      <w:r w:rsidRPr="00792916">
        <w:rPr>
          <w:rStyle w:val="af9"/>
          <w:rFonts w:ascii="Arial" w:eastAsia="宋体" w:hAnsi="Arial" w:cs="Arial" w:hint="eastAsia"/>
        </w:rPr>
        <w:t xml:space="preserve"> </w:t>
      </w:r>
      <w:r w:rsidRPr="00792916">
        <w:rPr>
          <w:rStyle w:val="af9"/>
          <w:rFonts w:ascii="Arial" w:eastAsia="宋体" w:hAnsi="Arial" w:cs="Arial"/>
        </w:rPr>
        <w:t>–</w:t>
      </w:r>
      <w:r w:rsidRPr="00792916">
        <w:rPr>
          <w:rStyle w:val="af9"/>
          <w:rFonts w:ascii="Arial" w:eastAsia="宋体" w:hAnsi="Arial" w:cs="Arial" w:hint="eastAsia"/>
        </w:rPr>
        <w:t xml:space="preserve"> </w:t>
      </w:r>
      <w:r w:rsidRPr="00792916">
        <w:rPr>
          <w:rStyle w:val="af9"/>
          <w:rFonts w:ascii="Arial" w:eastAsia="宋体" w:hAnsi="Arial" w:cs="Arial"/>
        </w:rPr>
        <w:t>30 Apr., 2020</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B12D4" w:rsidRPr="001B12D4">
        <w:rPr>
          <w:rFonts w:ascii="Arial" w:hAnsi="Arial" w:cs="Arial"/>
          <w:b w:val="0"/>
        </w:rPr>
        <w:t>Discussion of the open issues in IAB system parameters part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E35EB">
        <w:rPr>
          <w:rFonts w:ascii="Arial" w:hAnsi="Arial" w:cs="Arial" w:hint="eastAsia"/>
          <w:b w:val="0"/>
        </w:rPr>
        <w:t>6.5.1.1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2716F8">
        <w:rPr>
          <w:rFonts w:ascii="Arial" w:hAnsi="Arial" w:cs="Arial" w:hint="eastAsia"/>
          <w:b w:val="0"/>
        </w:rPr>
        <w:t>Approval</w:t>
      </w:r>
      <w:bookmarkStart w:id="2" w:name="_GoBack"/>
      <w:bookmarkEnd w:id="2"/>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6B10FB" w:rsidP="004C4C7A">
      <w:pPr>
        <w:spacing w:before="0" w:after="120"/>
        <w:jc w:val="left"/>
        <w:rPr>
          <w:sz w:val="20"/>
          <w:lang w:val="en-US"/>
        </w:rPr>
      </w:pPr>
      <w:r>
        <w:rPr>
          <w:rFonts w:hint="eastAsia"/>
          <w:sz w:val="20"/>
          <w:lang w:val="en-US"/>
        </w:rPr>
        <w:t xml:space="preserve"> </w:t>
      </w:r>
      <w:r w:rsidR="000276E7">
        <w:rPr>
          <w:rFonts w:hint="eastAsia"/>
          <w:sz w:val="20"/>
          <w:lang w:val="en-US"/>
        </w:rPr>
        <w:t xml:space="preserve">This contribution provides our consideration of some of the open issues in IAB system parameters part. The Multi-carrier and CA definition, clarification of </w:t>
      </w:r>
      <w:r w:rsidR="000276E7">
        <w:rPr>
          <w:sz w:val="20"/>
          <w:lang w:val="en-US"/>
        </w:rPr>
        <w:t>“</w:t>
      </w:r>
      <w:r w:rsidR="000276E7">
        <w:rPr>
          <w:rFonts w:hint="eastAsia"/>
          <w:sz w:val="20"/>
          <w:lang w:val="en-US"/>
        </w:rPr>
        <w:t>uplink and downlink</w:t>
      </w:r>
      <w:r w:rsidR="000276E7">
        <w:rPr>
          <w:sz w:val="20"/>
          <w:lang w:val="en-US"/>
        </w:rPr>
        <w:t>”</w:t>
      </w:r>
      <w:r w:rsidR="000276E7">
        <w:rPr>
          <w:rFonts w:hint="eastAsia"/>
          <w:sz w:val="20"/>
          <w:lang w:val="en-US"/>
        </w:rPr>
        <w:t xml:space="preserve"> and the number of transmitters/receivers for MT are discussed.</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64AAE" w:rsidRDefault="00B92497" w:rsidP="00EE0F1A">
      <w:pPr>
        <w:pStyle w:val="2"/>
        <w:numPr>
          <w:ilvl w:val="1"/>
          <w:numId w:val="4"/>
        </w:numPr>
        <w:rPr>
          <w:lang w:val="sv-SE"/>
        </w:rPr>
      </w:pPr>
      <w:r w:rsidRPr="000276E7">
        <w:rPr>
          <w:rFonts w:hint="eastAsia"/>
          <w:lang w:val="sv-SE"/>
        </w:rPr>
        <w:t>M</w:t>
      </w:r>
      <w:r w:rsidRPr="000276E7">
        <w:rPr>
          <w:lang w:val="sv-SE"/>
        </w:rPr>
        <w:t>ulti-carrier and CA</w:t>
      </w:r>
    </w:p>
    <w:p w:rsidR="00FB3018" w:rsidRDefault="000276E7" w:rsidP="00E04D77">
      <w:pPr>
        <w:spacing w:before="0" w:after="120"/>
        <w:rPr>
          <w:lang w:val="sv-SE"/>
        </w:rPr>
      </w:pPr>
      <w:r>
        <w:rPr>
          <w:rFonts w:hint="eastAsia"/>
          <w:lang w:val="sv-SE"/>
        </w:rPr>
        <w:t>In the last</w:t>
      </w:r>
      <w:r w:rsidR="001C4DE5">
        <w:rPr>
          <w:rFonts w:hint="eastAsia"/>
          <w:lang w:val="sv-SE"/>
        </w:rPr>
        <w:t xml:space="preserve"> meeting, it was agreed that</w:t>
      </w:r>
      <w:r>
        <w:rPr>
          <w:rFonts w:hint="eastAsia"/>
          <w:lang w:val="sv-SE"/>
        </w:rPr>
        <w:t xml:space="preserve"> </w:t>
      </w:r>
      <w:r w:rsidR="001C4DE5" w:rsidRPr="001C4DE5">
        <w:rPr>
          <w:lang w:val="sv-SE"/>
        </w:rPr>
        <w:t>Use BS approach to specify the multi-carrier requirements (covering both multi-carrier and CA operation) for IAB-DU.</w:t>
      </w:r>
      <w:r w:rsidR="001C4DE5">
        <w:rPr>
          <w:rFonts w:hint="eastAsia"/>
          <w:lang w:val="sv-SE"/>
        </w:rPr>
        <w:t xml:space="preserve"> </w:t>
      </w:r>
      <w:r w:rsidR="001C4DE5">
        <w:rPr>
          <w:lang w:val="sv-SE"/>
        </w:rPr>
        <w:t>F</w:t>
      </w:r>
      <w:r w:rsidR="001C4DE5">
        <w:rPr>
          <w:rFonts w:hint="eastAsia"/>
          <w:lang w:val="sv-SE"/>
        </w:rPr>
        <w:t xml:space="preserve">or MT, </w:t>
      </w:r>
      <w:r w:rsidR="00FB3018">
        <w:rPr>
          <w:rFonts w:hint="eastAsia"/>
          <w:lang w:val="sv-SE"/>
        </w:rPr>
        <w:t>there was no consensus if the same approach should be used.</w:t>
      </w:r>
    </w:p>
    <w:p w:rsidR="00407861" w:rsidRDefault="00407861" w:rsidP="00E04D77">
      <w:pPr>
        <w:spacing w:before="0" w:after="120"/>
        <w:rPr>
          <w:lang w:val="sv-SE"/>
        </w:rPr>
      </w:pPr>
      <w:r>
        <w:rPr>
          <w:rFonts w:hint="eastAsia"/>
          <w:lang w:val="sv-SE"/>
        </w:rPr>
        <w:t xml:space="preserve">For the IAB multi-carrier and carrier aggregation support, we agree some of the observations in [4] </w:t>
      </w:r>
      <w:r w:rsidR="0018281A">
        <w:rPr>
          <w:rFonts w:hint="eastAsia"/>
          <w:lang w:val="sv-SE"/>
        </w:rPr>
        <w:t>and we also added some other observations and summarize as following,</w:t>
      </w:r>
    </w:p>
    <w:p w:rsidR="00407861" w:rsidRPr="006877DB" w:rsidRDefault="00407861" w:rsidP="00E04D77">
      <w:pPr>
        <w:spacing w:before="0" w:after="120"/>
        <w:ind w:leftChars="100" w:left="210"/>
        <w:rPr>
          <w:i/>
          <w:lang w:val="sv-SE"/>
        </w:rPr>
      </w:pPr>
      <w:r w:rsidRPr="006877DB">
        <w:rPr>
          <w:rFonts w:hint="eastAsia"/>
          <w:i/>
          <w:lang w:val="sv-SE"/>
        </w:rPr>
        <w:t>-- MT and DU can work at the same band/carrier and also has the possibility that they work on the different bands/carriers.</w:t>
      </w:r>
    </w:p>
    <w:p w:rsidR="00407861" w:rsidRPr="006877DB" w:rsidRDefault="00407861" w:rsidP="00E04D77">
      <w:pPr>
        <w:spacing w:before="0" w:after="120"/>
        <w:ind w:leftChars="100" w:left="210"/>
        <w:rPr>
          <w:i/>
          <w:lang w:val="sv-SE"/>
        </w:rPr>
      </w:pPr>
      <w:r w:rsidRPr="006877DB">
        <w:rPr>
          <w:rFonts w:hint="eastAsia"/>
          <w:i/>
          <w:lang w:val="sv-SE"/>
        </w:rPr>
        <w:t>-- There shouldn</w:t>
      </w:r>
      <w:r w:rsidRPr="006877DB">
        <w:rPr>
          <w:i/>
          <w:lang w:val="sv-SE"/>
        </w:rPr>
        <w:t>’</w:t>
      </w:r>
      <w:r w:rsidRPr="006877DB">
        <w:rPr>
          <w:rFonts w:hint="eastAsia"/>
          <w:i/>
          <w:lang w:val="sv-SE"/>
        </w:rPr>
        <w:t>t be restriction for the bands, carriers, band combiaions supported by IAB-MT.</w:t>
      </w:r>
    </w:p>
    <w:p w:rsidR="00407861" w:rsidRPr="006877DB" w:rsidRDefault="00407861" w:rsidP="00E04D77">
      <w:pPr>
        <w:spacing w:before="0" w:after="120"/>
        <w:ind w:leftChars="100" w:left="210"/>
        <w:rPr>
          <w:i/>
          <w:lang w:val="sv-SE"/>
        </w:rPr>
      </w:pPr>
      <w:r w:rsidRPr="006877DB">
        <w:rPr>
          <w:rFonts w:hint="eastAsia"/>
          <w:i/>
          <w:lang w:val="sv-SE"/>
        </w:rPr>
        <w:t xml:space="preserve">-- The UE CA specific requirements mainly comes from the implementation restrictions such as size, </w:t>
      </w:r>
      <w:r w:rsidR="000F6F9C" w:rsidRPr="006877DB">
        <w:rPr>
          <w:rFonts w:hint="eastAsia"/>
          <w:i/>
          <w:lang w:val="sv-SE"/>
        </w:rPr>
        <w:t>SAR limitation</w:t>
      </w:r>
      <w:r w:rsidR="0018281A" w:rsidRPr="006877DB">
        <w:rPr>
          <w:rFonts w:hint="eastAsia"/>
          <w:i/>
          <w:lang w:val="sv-SE"/>
        </w:rPr>
        <w:t xml:space="preserve">, </w:t>
      </w:r>
      <w:r w:rsidRPr="006877DB">
        <w:rPr>
          <w:rFonts w:hint="eastAsia"/>
          <w:i/>
          <w:lang w:val="sv-SE"/>
        </w:rPr>
        <w:t>power consumption, ADC performance, filter performance, etc. Such kind of difficulties doesn</w:t>
      </w:r>
      <w:r w:rsidRPr="006877DB">
        <w:rPr>
          <w:i/>
          <w:lang w:val="sv-SE"/>
        </w:rPr>
        <w:t>’</w:t>
      </w:r>
      <w:r w:rsidRPr="006877DB">
        <w:rPr>
          <w:rFonts w:hint="eastAsia"/>
          <w:i/>
          <w:lang w:val="sv-SE"/>
        </w:rPr>
        <w:t>t exist with the assumption th</w:t>
      </w:r>
      <w:r w:rsidR="000F6F9C" w:rsidRPr="006877DB">
        <w:rPr>
          <w:rFonts w:hint="eastAsia"/>
          <w:i/>
          <w:lang w:val="sv-SE"/>
        </w:rPr>
        <w:t xml:space="preserve">at IAB-MT uses the same </w:t>
      </w:r>
      <w:r w:rsidRPr="006877DB">
        <w:rPr>
          <w:rFonts w:hint="eastAsia"/>
          <w:i/>
          <w:lang w:val="sv-SE"/>
        </w:rPr>
        <w:t>component</w:t>
      </w:r>
      <w:r w:rsidR="000F6F9C" w:rsidRPr="006877DB">
        <w:rPr>
          <w:rFonts w:hint="eastAsia"/>
          <w:i/>
          <w:lang w:val="sv-SE"/>
        </w:rPr>
        <w:t xml:space="preserve"> capability</w:t>
      </w:r>
      <w:r w:rsidRPr="006877DB">
        <w:rPr>
          <w:rFonts w:hint="eastAsia"/>
          <w:i/>
          <w:lang w:val="sv-SE"/>
        </w:rPr>
        <w:t xml:space="preserve"> with DU (or BS).</w:t>
      </w:r>
    </w:p>
    <w:p w:rsidR="0018281A" w:rsidRPr="006877DB" w:rsidRDefault="0018281A" w:rsidP="00E04D77">
      <w:pPr>
        <w:spacing w:before="0" w:after="120"/>
        <w:ind w:leftChars="100" w:left="210"/>
        <w:rPr>
          <w:i/>
          <w:lang w:val="sv-SE"/>
        </w:rPr>
      </w:pPr>
      <w:r w:rsidRPr="006877DB">
        <w:rPr>
          <w:rFonts w:hint="eastAsia"/>
          <w:i/>
          <w:lang w:val="sv-SE"/>
        </w:rPr>
        <w:t xml:space="preserve">-- </w:t>
      </w:r>
      <w:r w:rsidR="000F6F9C" w:rsidRPr="006877DB">
        <w:rPr>
          <w:rFonts w:hint="eastAsia"/>
          <w:i/>
          <w:lang w:val="sv-SE"/>
        </w:rPr>
        <w:t>The above observa</w:t>
      </w:r>
      <w:r w:rsidR="006877DB">
        <w:rPr>
          <w:rFonts w:hint="eastAsia"/>
          <w:i/>
          <w:lang w:val="sv-SE"/>
        </w:rPr>
        <w:t>tions apply to every possible c</w:t>
      </w:r>
      <w:r w:rsidR="000F6F9C" w:rsidRPr="006877DB">
        <w:rPr>
          <w:rFonts w:hint="eastAsia"/>
          <w:i/>
          <w:lang w:val="sv-SE"/>
        </w:rPr>
        <w:t>l</w:t>
      </w:r>
      <w:r w:rsidR="006877DB">
        <w:rPr>
          <w:rFonts w:hint="eastAsia"/>
          <w:i/>
          <w:lang w:val="sv-SE"/>
        </w:rPr>
        <w:t>a</w:t>
      </w:r>
      <w:r w:rsidR="000F6F9C" w:rsidRPr="006877DB">
        <w:rPr>
          <w:rFonts w:hint="eastAsia"/>
          <w:i/>
          <w:lang w:val="sv-SE"/>
        </w:rPr>
        <w:t xml:space="preserve">ss such as wide area, </w:t>
      </w:r>
      <w:r w:rsidRPr="006877DB">
        <w:rPr>
          <w:rFonts w:hint="eastAsia"/>
          <w:i/>
          <w:lang w:val="sv-SE"/>
        </w:rPr>
        <w:t>medium range and local area MT</w:t>
      </w:r>
      <w:r w:rsidR="000F6F9C" w:rsidRPr="006877DB">
        <w:rPr>
          <w:rFonts w:hint="eastAsia"/>
          <w:i/>
          <w:lang w:val="sv-SE"/>
        </w:rPr>
        <w:t>.</w:t>
      </w:r>
    </w:p>
    <w:p w:rsidR="00FB3018" w:rsidRDefault="0018281A" w:rsidP="00E04D77">
      <w:pPr>
        <w:spacing w:before="0" w:after="120"/>
        <w:rPr>
          <w:lang w:val="sv-SE"/>
        </w:rPr>
      </w:pPr>
      <w:r>
        <w:rPr>
          <w:rFonts w:hint="eastAsia"/>
          <w:lang w:val="sv-SE"/>
        </w:rPr>
        <w:t>With the above reasons, we have the following proposals,</w:t>
      </w:r>
    </w:p>
    <w:p w:rsidR="0018281A" w:rsidRPr="00AB3409" w:rsidRDefault="0018281A" w:rsidP="00E04D77">
      <w:pPr>
        <w:spacing w:before="0" w:after="120"/>
        <w:rPr>
          <w:b/>
          <w:lang w:val="sv-SE"/>
        </w:rPr>
      </w:pPr>
      <w:r w:rsidRPr="00AB3409">
        <w:rPr>
          <w:rFonts w:hint="eastAsia"/>
          <w:b/>
          <w:lang w:val="sv-SE"/>
        </w:rPr>
        <w:t>Proposal 1: The spec doensn</w:t>
      </w:r>
      <w:r w:rsidRPr="00AB3409">
        <w:rPr>
          <w:b/>
          <w:lang w:val="sv-SE"/>
        </w:rPr>
        <w:t>’</w:t>
      </w:r>
      <w:r w:rsidRPr="00AB3409">
        <w:rPr>
          <w:rFonts w:hint="eastAsia"/>
          <w:b/>
          <w:lang w:val="sv-SE"/>
        </w:rPr>
        <w:t>t explicitly list the exact multi-band, multi-carrier and band combinations supported by IAB-MT.</w:t>
      </w:r>
    </w:p>
    <w:p w:rsidR="0018281A" w:rsidRPr="00AB3409" w:rsidRDefault="0018281A" w:rsidP="00E04D77">
      <w:pPr>
        <w:spacing w:before="0" w:after="120"/>
        <w:rPr>
          <w:b/>
          <w:lang w:val="sv-SE"/>
        </w:rPr>
      </w:pPr>
      <w:r w:rsidRPr="00AB3409">
        <w:rPr>
          <w:rFonts w:hint="eastAsia"/>
          <w:b/>
          <w:lang w:val="sv-SE"/>
        </w:rPr>
        <w:t xml:space="preserve">Proposal 2: For the multi-band, multi-carrier and CA requirements, IAB-MT </w:t>
      </w:r>
      <w:r w:rsidR="00AB3409" w:rsidRPr="00AB3409">
        <w:rPr>
          <w:rFonts w:hint="eastAsia"/>
          <w:b/>
          <w:lang w:val="sv-SE"/>
        </w:rPr>
        <w:t xml:space="preserve">requirements </w:t>
      </w:r>
      <w:r w:rsidRPr="00AB3409">
        <w:rPr>
          <w:rFonts w:hint="eastAsia"/>
          <w:b/>
          <w:lang w:val="sv-SE"/>
        </w:rPr>
        <w:t>follow BS approach.</w:t>
      </w:r>
    </w:p>
    <w:p w:rsidR="00DF3308" w:rsidRPr="00AB3409" w:rsidRDefault="00DF3308" w:rsidP="00E04D77">
      <w:pPr>
        <w:spacing w:before="0" w:after="120"/>
        <w:rPr>
          <w:b/>
          <w:lang w:val="sv-SE"/>
        </w:rPr>
      </w:pPr>
      <w:r w:rsidRPr="00AB3409">
        <w:rPr>
          <w:rFonts w:hint="eastAsia"/>
          <w:b/>
          <w:lang w:val="sv-SE"/>
        </w:rPr>
        <w:t>Propssal 3: The above two proposals apply to wide area, medium range IAB-MT.</w:t>
      </w:r>
    </w:p>
    <w:p w:rsidR="000276E7" w:rsidRDefault="000276E7" w:rsidP="000276E7">
      <w:pPr>
        <w:pStyle w:val="2"/>
        <w:numPr>
          <w:ilvl w:val="1"/>
          <w:numId w:val="4"/>
        </w:numPr>
        <w:rPr>
          <w:lang w:val="sv-SE"/>
        </w:rPr>
      </w:pPr>
      <w:r w:rsidRPr="000276E7">
        <w:rPr>
          <w:rFonts w:hint="eastAsia"/>
          <w:lang w:val="sv-SE"/>
        </w:rPr>
        <w:t>C</w:t>
      </w:r>
      <w:r w:rsidRPr="000276E7">
        <w:rPr>
          <w:lang w:val="sv-SE"/>
        </w:rPr>
        <w:t>larification of ”uplink and downlink”</w:t>
      </w:r>
    </w:p>
    <w:p w:rsidR="00FC5045" w:rsidRDefault="00030022" w:rsidP="00FC5045">
      <w:pPr>
        <w:rPr>
          <w:lang w:val="sv-SE"/>
        </w:rPr>
      </w:pPr>
      <w:r>
        <w:rPr>
          <w:rFonts w:hint="eastAsia"/>
          <w:lang w:val="sv-SE"/>
        </w:rPr>
        <w:t>In the last meeting, there was some discussion that if uplink/downlink should be specificly clarified for the IAB node, such as IAB-MT UL/DL, IAB-DU UL/DL. The argument was that IAB-MT may transmitts signals on D slots. According to our understanding, there</w:t>
      </w:r>
      <w:r>
        <w:rPr>
          <w:lang w:val="sv-SE"/>
        </w:rPr>
        <w:t>’</w:t>
      </w:r>
      <w:r>
        <w:rPr>
          <w:rFonts w:hint="eastAsia"/>
          <w:lang w:val="sv-SE"/>
        </w:rPr>
        <w:t>s no vague concept understanding for uplink and downlink. The UL/DL configuration fo</w:t>
      </w:r>
      <w:r w:rsidR="006877DB">
        <w:rPr>
          <w:rFonts w:hint="eastAsia"/>
          <w:lang w:val="sv-SE"/>
        </w:rPr>
        <w:t>r MT and DU are independent. Our</w:t>
      </w:r>
      <w:r>
        <w:rPr>
          <w:rFonts w:hint="eastAsia"/>
          <w:lang w:val="sv-SE"/>
        </w:rPr>
        <w:t xml:space="preserve"> understanding is that MT-Tx and DU-Rx are UL, accordingly MT-Rx and DU-Tx are DL. </w:t>
      </w:r>
      <w:r w:rsidR="006877DB">
        <w:rPr>
          <w:rFonts w:hint="eastAsia"/>
          <w:lang w:val="sv-SE"/>
        </w:rPr>
        <w:t xml:space="preserve">The understanding can be shown in Figure 1. </w:t>
      </w:r>
      <w:r w:rsidR="00BC23DC">
        <w:rPr>
          <w:rFonts w:hint="eastAsia"/>
          <w:lang w:val="sv-SE"/>
        </w:rPr>
        <w:t>There</w:t>
      </w:r>
      <w:r w:rsidR="00BC23DC">
        <w:rPr>
          <w:lang w:val="sv-SE"/>
        </w:rPr>
        <w:t>’</w:t>
      </w:r>
      <w:r w:rsidR="00BC23DC">
        <w:rPr>
          <w:rFonts w:hint="eastAsia"/>
          <w:lang w:val="sv-SE"/>
        </w:rPr>
        <w:t>s no specific clarificaiton in RAN1 CR</w:t>
      </w:r>
      <w:r w:rsidR="00BC23DC">
        <w:rPr>
          <w:rFonts w:hint="eastAsia"/>
          <w:sz w:val="20"/>
          <w:szCs w:val="20"/>
        </w:rPr>
        <w:t>[5]</w:t>
      </w:r>
      <w:r w:rsidR="00BC23DC">
        <w:rPr>
          <w:rFonts w:hint="eastAsia"/>
          <w:lang w:val="sv-SE"/>
        </w:rPr>
        <w:t xml:space="preserve"> either. </w:t>
      </w:r>
      <w:r>
        <w:rPr>
          <w:rFonts w:hint="eastAsia"/>
          <w:lang w:val="sv-SE"/>
        </w:rPr>
        <w:t>Therefore, we don</w:t>
      </w:r>
      <w:r>
        <w:rPr>
          <w:lang w:val="sv-SE"/>
        </w:rPr>
        <w:t>’</w:t>
      </w:r>
      <w:r>
        <w:rPr>
          <w:rFonts w:hint="eastAsia"/>
          <w:lang w:val="sv-SE"/>
        </w:rPr>
        <w:t>t think there</w:t>
      </w:r>
      <w:r>
        <w:rPr>
          <w:lang w:val="sv-SE"/>
        </w:rPr>
        <w:t>’</w:t>
      </w:r>
      <w:r>
        <w:rPr>
          <w:rFonts w:hint="eastAsia"/>
          <w:lang w:val="sv-SE"/>
        </w:rPr>
        <w:t>s any need to define the new items in the spec.</w:t>
      </w:r>
    </w:p>
    <w:p w:rsidR="000761F6" w:rsidRDefault="000761F6" w:rsidP="000761F6">
      <w:pPr>
        <w:jc w:val="center"/>
        <w:rPr>
          <w:lang w:val="sv-SE"/>
        </w:rPr>
      </w:pPr>
      <w:r>
        <w:rPr>
          <w:noProof/>
          <w:lang w:val="en-US"/>
        </w:rPr>
        <w:lastRenderedPageBreak/>
        <w:drawing>
          <wp:inline distT="0" distB="0" distL="0" distR="0">
            <wp:extent cx="3105180" cy="11709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5121" cy="1170970"/>
                    </a:xfrm>
                    <a:prstGeom prst="rect">
                      <a:avLst/>
                    </a:prstGeom>
                    <a:noFill/>
                    <a:ln>
                      <a:noFill/>
                    </a:ln>
                  </pic:spPr>
                </pic:pic>
              </a:graphicData>
            </a:graphic>
          </wp:inline>
        </w:drawing>
      </w:r>
    </w:p>
    <w:p w:rsidR="000761F6" w:rsidRDefault="000761F6" w:rsidP="000761F6">
      <w:pPr>
        <w:jc w:val="center"/>
        <w:rPr>
          <w:lang w:val="sv-SE"/>
        </w:rPr>
      </w:pPr>
      <w:r>
        <w:rPr>
          <w:rFonts w:hint="eastAsia"/>
          <w:lang w:val="sv-SE"/>
        </w:rPr>
        <w:t xml:space="preserve">Figure 1: </w:t>
      </w:r>
      <w:r>
        <w:t>Different IAB link types</w:t>
      </w:r>
      <w:r>
        <w:rPr>
          <w:rFonts w:hint="eastAsia"/>
        </w:rPr>
        <w:t>, copied from [7]</w:t>
      </w:r>
    </w:p>
    <w:p w:rsidR="00030022" w:rsidRPr="00030022" w:rsidRDefault="00030022" w:rsidP="00FC5045">
      <w:pPr>
        <w:rPr>
          <w:b/>
          <w:lang w:val="sv-SE"/>
        </w:rPr>
      </w:pPr>
      <w:r w:rsidRPr="00030022">
        <w:rPr>
          <w:rFonts w:hint="eastAsia"/>
          <w:b/>
          <w:lang w:val="sv-SE"/>
        </w:rPr>
        <w:t>Observation: No need to clarify the uplink and downlink concept specificly for IAB node.</w:t>
      </w:r>
    </w:p>
    <w:p w:rsidR="001846BF" w:rsidRDefault="000276E7" w:rsidP="000276E7">
      <w:pPr>
        <w:pStyle w:val="2"/>
        <w:numPr>
          <w:ilvl w:val="1"/>
          <w:numId w:val="4"/>
        </w:numPr>
        <w:rPr>
          <w:lang w:val="sv-SE"/>
        </w:rPr>
      </w:pPr>
      <w:r w:rsidRPr="000276E7">
        <w:rPr>
          <w:rFonts w:hint="eastAsia"/>
          <w:lang w:val="sv-SE"/>
        </w:rPr>
        <w:t xml:space="preserve">The </w:t>
      </w:r>
      <w:r>
        <w:rPr>
          <w:rFonts w:hint="eastAsia"/>
          <w:lang w:val="sv-SE"/>
        </w:rPr>
        <w:t xml:space="preserve">number </w:t>
      </w:r>
      <w:r w:rsidRPr="000276E7">
        <w:rPr>
          <w:rFonts w:hint="eastAsia"/>
          <w:lang w:val="sv-SE"/>
        </w:rPr>
        <w:t>of</w:t>
      </w:r>
      <w:r w:rsidR="004D42CD" w:rsidRPr="000276E7">
        <w:rPr>
          <w:lang w:val="sv-SE"/>
        </w:rPr>
        <w:t xml:space="preserve"> transmitters/receivers</w:t>
      </w:r>
      <w:r w:rsidRPr="000276E7">
        <w:rPr>
          <w:rFonts w:hint="eastAsia"/>
          <w:lang w:val="sv-SE"/>
        </w:rPr>
        <w:t xml:space="preserve"> for MT</w:t>
      </w:r>
    </w:p>
    <w:p w:rsidR="006877DB" w:rsidRDefault="005C75BC" w:rsidP="00742B26">
      <w:pPr>
        <w:spacing w:before="0" w:after="120"/>
        <w:rPr>
          <w:lang w:val="sv-SE"/>
        </w:rPr>
      </w:pPr>
      <w:r>
        <w:rPr>
          <w:rFonts w:hint="eastAsia"/>
          <w:lang w:val="sv-SE"/>
        </w:rPr>
        <w:t xml:space="preserve">In the TP [6], the number of transmitters/receivers for </w:t>
      </w:r>
      <w:r w:rsidRPr="005C75BC">
        <w:rPr>
          <w:lang w:val="sv-SE"/>
        </w:rPr>
        <w:t>IAB-DU type 1-O</w:t>
      </w:r>
      <w:r w:rsidRPr="005C75BC">
        <w:rPr>
          <w:rFonts w:hint="eastAsia"/>
          <w:lang w:val="sv-SE"/>
        </w:rPr>
        <w:t xml:space="preserve"> </w:t>
      </w:r>
      <w:r>
        <w:rPr>
          <w:rFonts w:hint="eastAsia"/>
          <w:lang w:val="sv-SE"/>
        </w:rPr>
        <w:t xml:space="preserve">was decided to be 8, for MT it was FFS. </w:t>
      </w:r>
      <w:r w:rsidR="000761F6">
        <w:rPr>
          <w:lang w:val="sv-SE"/>
        </w:rPr>
        <w:t>I</w:t>
      </w:r>
      <w:r w:rsidR="000761F6">
        <w:rPr>
          <w:rFonts w:hint="eastAsia"/>
          <w:lang w:val="sv-SE"/>
        </w:rPr>
        <w:t xml:space="preserve">n our understanding, </w:t>
      </w:r>
      <w:r w:rsidR="006877DB">
        <w:rPr>
          <w:rFonts w:hint="eastAsia"/>
          <w:lang w:val="sv-SE"/>
        </w:rPr>
        <w:t xml:space="preserve">from the implemention point of view, </w:t>
      </w:r>
      <w:r w:rsidR="000761F6">
        <w:rPr>
          <w:rFonts w:hint="eastAsia"/>
          <w:lang w:val="sv-SE"/>
        </w:rPr>
        <w:t xml:space="preserve">the number of TX/RX of MT </w:t>
      </w:r>
      <w:r w:rsidR="006877DB">
        <w:rPr>
          <w:rFonts w:hint="eastAsia"/>
          <w:lang w:val="sv-SE"/>
        </w:rPr>
        <w:t xml:space="preserve">can </w:t>
      </w:r>
      <w:r w:rsidR="000761F6">
        <w:rPr>
          <w:rFonts w:hint="eastAsia"/>
          <w:lang w:val="sv-SE"/>
        </w:rPr>
        <w:t xml:space="preserve">be </w:t>
      </w:r>
      <w:r w:rsidR="006877DB">
        <w:rPr>
          <w:rFonts w:hint="eastAsia"/>
          <w:lang w:val="sv-SE"/>
        </w:rPr>
        <w:t>the same with DU especially RF paths can be considered to be reused. But from system point of view, UL only can support 4 layers which is different with 8 layers for DL. Then IAB-MT Tx paths can be allowed to be 4 instead of 8. For MT receiver, 8 Rx paths may do benefit to the coverage and throughput, then 8 Rx paths is reasonable.</w:t>
      </w:r>
    </w:p>
    <w:p w:rsidR="00742B26" w:rsidRPr="00742B26" w:rsidRDefault="00742B26" w:rsidP="00742B26">
      <w:pPr>
        <w:spacing w:before="0" w:after="120"/>
        <w:rPr>
          <w:b/>
          <w:lang w:val="sv-SE"/>
        </w:rPr>
      </w:pPr>
      <w:r w:rsidRPr="00742B26">
        <w:rPr>
          <w:rFonts w:hint="eastAsia"/>
          <w:b/>
          <w:lang w:val="sv-SE"/>
        </w:rPr>
        <w:t>P</w:t>
      </w:r>
      <w:r w:rsidR="006877DB">
        <w:rPr>
          <w:rFonts w:hint="eastAsia"/>
          <w:b/>
          <w:lang w:val="sv-SE"/>
        </w:rPr>
        <w:t xml:space="preserve">roposal 4: The </w:t>
      </w:r>
      <w:r w:rsidRPr="00742B26">
        <w:rPr>
          <w:rFonts w:hint="eastAsia"/>
          <w:b/>
          <w:lang w:val="sv-SE"/>
        </w:rPr>
        <w:t xml:space="preserve">number of transmitters for </w:t>
      </w:r>
      <w:r w:rsidRPr="00742B26">
        <w:rPr>
          <w:b/>
          <w:lang w:val="sv-SE"/>
        </w:rPr>
        <w:t>IAB-</w:t>
      </w:r>
      <w:r w:rsidRPr="00742B26">
        <w:rPr>
          <w:rFonts w:hint="eastAsia"/>
          <w:b/>
          <w:lang w:val="sv-SE"/>
        </w:rPr>
        <w:t>MT</w:t>
      </w:r>
      <w:r w:rsidRPr="00742B26">
        <w:rPr>
          <w:b/>
          <w:lang w:val="sv-SE"/>
        </w:rPr>
        <w:t xml:space="preserve"> type 1-O</w:t>
      </w:r>
      <w:r w:rsidR="006877DB">
        <w:rPr>
          <w:rFonts w:hint="eastAsia"/>
          <w:b/>
          <w:lang w:val="sv-SE"/>
        </w:rPr>
        <w:t xml:space="preserve"> is allowed to</w:t>
      </w:r>
      <w:r w:rsidRPr="00742B26">
        <w:rPr>
          <w:rFonts w:hint="eastAsia"/>
          <w:b/>
          <w:lang w:val="sv-SE"/>
        </w:rPr>
        <w:t xml:space="preserve"> be </w:t>
      </w:r>
      <w:r w:rsidR="006877DB">
        <w:rPr>
          <w:rFonts w:hint="eastAsia"/>
          <w:b/>
          <w:lang w:val="sv-SE"/>
        </w:rPr>
        <w:t>4.</w:t>
      </w:r>
      <w:r w:rsidRPr="00742B26">
        <w:rPr>
          <w:rFonts w:hint="eastAsia"/>
          <w:b/>
          <w:lang w:val="sv-SE"/>
        </w:rPr>
        <w:t xml:space="preserve"> </w:t>
      </w:r>
      <w:r w:rsidR="006877DB" w:rsidRPr="00742B26">
        <w:rPr>
          <w:rFonts w:hint="eastAsia"/>
          <w:b/>
          <w:lang w:val="sv-SE"/>
        </w:rPr>
        <w:t xml:space="preserve">The number of receivers for </w:t>
      </w:r>
      <w:r w:rsidR="006877DB" w:rsidRPr="00742B26">
        <w:rPr>
          <w:b/>
          <w:lang w:val="sv-SE"/>
        </w:rPr>
        <w:t>IAB-</w:t>
      </w:r>
      <w:r w:rsidR="006877DB" w:rsidRPr="00742B26">
        <w:rPr>
          <w:rFonts w:hint="eastAsia"/>
          <w:b/>
          <w:lang w:val="sv-SE"/>
        </w:rPr>
        <w:t>MT</w:t>
      </w:r>
      <w:r w:rsidR="006877DB" w:rsidRPr="00742B26">
        <w:rPr>
          <w:b/>
          <w:lang w:val="sv-SE"/>
        </w:rPr>
        <w:t xml:space="preserve"> type 1-O</w:t>
      </w:r>
      <w:r w:rsidR="006877DB" w:rsidRPr="00742B26">
        <w:rPr>
          <w:rFonts w:hint="eastAsia"/>
          <w:b/>
          <w:lang w:val="sv-SE"/>
        </w:rPr>
        <w:t xml:space="preserve"> should be 8</w:t>
      </w:r>
      <w:r w:rsidRPr="00742B26">
        <w:rPr>
          <w:rFonts w:hint="eastAsia"/>
          <w:b/>
          <w:lang w:val="sv-SE"/>
        </w:rPr>
        <w: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946ACC" w:rsidRDefault="006877DB" w:rsidP="00E345EC">
      <w:pPr>
        <w:spacing w:before="0" w:after="120"/>
        <w:jc w:val="left"/>
        <w:rPr>
          <w:sz w:val="20"/>
          <w:szCs w:val="20"/>
        </w:rPr>
      </w:pPr>
      <w:r>
        <w:rPr>
          <w:rFonts w:hint="eastAsia"/>
          <w:sz w:val="20"/>
          <w:szCs w:val="20"/>
        </w:rPr>
        <w:t xml:space="preserve">This contribution provides our views for some open issues in IAB system parameters </w:t>
      </w:r>
      <w:proofErr w:type="gramStart"/>
      <w:r>
        <w:rPr>
          <w:rFonts w:hint="eastAsia"/>
          <w:sz w:val="20"/>
          <w:szCs w:val="20"/>
        </w:rPr>
        <w:t>part,</w:t>
      </w:r>
      <w:proofErr w:type="gramEnd"/>
      <w:r>
        <w:rPr>
          <w:rFonts w:hint="eastAsia"/>
          <w:sz w:val="20"/>
          <w:szCs w:val="20"/>
        </w:rPr>
        <w:t xml:space="preserve"> we have the following observations and proposals: </w:t>
      </w:r>
    </w:p>
    <w:p w:rsidR="006877DB" w:rsidRPr="00030022" w:rsidRDefault="006877DB" w:rsidP="006877DB">
      <w:pPr>
        <w:rPr>
          <w:b/>
          <w:lang w:val="sv-SE"/>
        </w:rPr>
      </w:pPr>
      <w:r w:rsidRPr="00030022">
        <w:rPr>
          <w:rFonts w:hint="eastAsia"/>
          <w:b/>
          <w:lang w:val="sv-SE"/>
        </w:rPr>
        <w:t>Observation: No need to clarify the uplink and downlink concept specificly for IAB node.</w:t>
      </w:r>
    </w:p>
    <w:p w:rsidR="006877DB" w:rsidRPr="006877DB" w:rsidRDefault="006877DB" w:rsidP="00E345EC">
      <w:pPr>
        <w:spacing w:before="0" w:after="120"/>
        <w:jc w:val="left"/>
        <w:rPr>
          <w:sz w:val="20"/>
          <w:szCs w:val="20"/>
          <w:lang w:val="sv-SE"/>
        </w:rPr>
      </w:pPr>
    </w:p>
    <w:p w:rsidR="00742B26" w:rsidRPr="00AB3409" w:rsidRDefault="00742B26" w:rsidP="00742B26">
      <w:pPr>
        <w:spacing w:before="0" w:after="120"/>
        <w:rPr>
          <w:b/>
          <w:lang w:val="sv-SE"/>
        </w:rPr>
      </w:pPr>
      <w:r w:rsidRPr="00AB3409">
        <w:rPr>
          <w:rFonts w:hint="eastAsia"/>
          <w:b/>
          <w:lang w:val="sv-SE"/>
        </w:rPr>
        <w:t>Proposal 1: The spec doensn</w:t>
      </w:r>
      <w:r w:rsidRPr="00AB3409">
        <w:rPr>
          <w:b/>
          <w:lang w:val="sv-SE"/>
        </w:rPr>
        <w:t>’</w:t>
      </w:r>
      <w:r w:rsidRPr="00AB3409">
        <w:rPr>
          <w:rFonts w:hint="eastAsia"/>
          <w:b/>
          <w:lang w:val="sv-SE"/>
        </w:rPr>
        <w:t>t explicitly list the exact multi-band, multi-carrier and band combinations supported by IAB-MT.</w:t>
      </w:r>
    </w:p>
    <w:p w:rsidR="00742B26" w:rsidRPr="00AB3409" w:rsidRDefault="00742B26" w:rsidP="00742B26">
      <w:pPr>
        <w:spacing w:before="0" w:after="120"/>
        <w:rPr>
          <w:b/>
          <w:lang w:val="sv-SE"/>
        </w:rPr>
      </w:pPr>
      <w:r w:rsidRPr="00AB3409">
        <w:rPr>
          <w:rFonts w:hint="eastAsia"/>
          <w:b/>
          <w:lang w:val="sv-SE"/>
        </w:rPr>
        <w:t>Proposal 2: For the multi-band, multi-carrier and CA requirements, IAB-MT requirements follow BS approach.</w:t>
      </w:r>
    </w:p>
    <w:p w:rsidR="00742B26" w:rsidRPr="00AB3409" w:rsidRDefault="00742B26" w:rsidP="00742B26">
      <w:pPr>
        <w:spacing w:before="0" w:after="120"/>
        <w:rPr>
          <w:b/>
          <w:lang w:val="sv-SE"/>
        </w:rPr>
      </w:pPr>
      <w:r w:rsidRPr="00AB3409">
        <w:rPr>
          <w:rFonts w:hint="eastAsia"/>
          <w:b/>
          <w:lang w:val="sv-SE"/>
        </w:rPr>
        <w:t>Propssal 3: The above two proposals apply to wide area, medium range IAB-MT.</w:t>
      </w:r>
    </w:p>
    <w:p w:rsidR="00742B26" w:rsidRPr="00742B26" w:rsidRDefault="006877DB" w:rsidP="006877DB">
      <w:pPr>
        <w:spacing w:before="0" w:after="120"/>
        <w:rPr>
          <w:sz w:val="20"/>
          <w:szCs w:val="20"/>
          <w:lang w:val="sv-SE"/>
        </w:rPr>
      </w:pPr>
      <w:r w:rsidRPr="00742B26">
        <w:rPr>
          <w:rFonts w:hint="eastAsia"/>
          <w:b/>
          <w:lang w:val="sv-SE"/>
        </w:rPr>
        <w:t>P</w:t>
      </w:r>
      <w:r>
        <w:rPr>
          <w:rFonts w:hint="eastAsia"/>
          <w:b/>
          <w:lang w:val="sv-SE"/>
        </w:rPr>
        <w:t xml:space="preserve">roposal 4: The </w:t>
      </w:r>
      <w:r w:rsidRPr="00742B26">
        <w:rPr>
          <w:rFonts w:hint="eastAsia"/>
          <w:b/>
          <w:lang w:val="sv-SE"/>
        </w:rPr>
        <w:t xml:space="preserve">number of transmitters for </w:t>
      </w:r>
      <w:r w:rsidRPr="00742B26">
        <w:rPr>
          <w:b/>
          <w:lang w:val="sv-SE"/>
        </w:rPr>
        <w:t>IAB-</w:t>
      </w:r>
      <w:r w:rsidRPr="00742B26">
        <w:rPr>
          <w:rFonts w:hint="eastAsia"/>
          <w:b/>
          <w:lang w:val="sv-SE"/>
        </w:rPr>
        <w:t>MT</w:t>
      </w:r>
      <w:r w:rsidRPr="00742B26">
        <w:rPr>
          <w:b/>
          <w:lang w:val="sv-SE"/>
        </w:rPr>
        <w:t xml:space="preserve"> type 1-O</w:t>
      </w:r>
      <w:r>
        <w:rPr>
          <w:rFonts w:hint="eastAsia"/>
          <w:b/>
          <w:lang w:val="sv-SE"/>
        </w:rPr>
        <w:t xml:space="preserve"> is allowed to</w:t>
      </w:r>
      <w:r w:rsidRPr="00742B26">
        <w:rPr>
          <w:rFonts w:hint="eastAsia"/>
          <w:b/>
          <w:lang w:val="sv-SE"/>
        </w:rPr>
        <w:t xml:space="preserve"> be </w:t>
      </w:r>
      <w:r>
        <w:rPr>
          <w:rFonts w:hint="eastAsia"/>
          <w:b/>
          <w:lang w:val="sv-SE"/>
        </w:rPr>
        <w:t>4.</w:t>
      </w:r>
      <w:r w:rsidRPr="00742B26">
        <w:rPr>
          <w:rFonts w:hint="eastAsia"/>
          <w:b/>
          <w:lang w:val="sv-SE"/>
        </w:rPr>
        <w:t xml:space="preserve"> The number of receivers for </w:t>
      </w:r>
      <w:r w:rsidRPr="00742B26">
        <w:rPr>
          <w:b/>
          <w:lang w:val="sv-SE"/>
        </w:rPr>
        <w:t>IAB-</w:t>
      </w:r>
      <w:r w:rsidRPr="00742B26">
        <w:rPr>
          <w:rFonts w:hint="eastAsia"/>
          <w:b/>
          <w:lang w:val="sv-SE"/>
        </w:rPr>
        <w:t>MT</w:t>
      </w:r>
      <w:r w:rsidRPr="00742B26">
        <w:rPr>
          <w:b/>
          <w:lang w:val="sv-SE"/>
        </w:rPr>
        <w:t xml:space="preserve"> type 1-O</w:t>
      </w:r>
      <w:r w:rsidRPr="00742B26">
        <w:rPr>
          <w:rFonts w:hint="eastAsia"/>
          <w:b/>
          <w:lang w:val="sv-SE"/>
        </w:rPr>
        <w:t xml:space="preserve"> should be 8.</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B92497" w:rsidRPr="00B92497" w:rsidRDefault="00236F77" w:rsidP="00030022">
      <w:pPr>
        <w:spacing w:before="0" w:after="120"/>
        <w:jc w:val="left"/>
        <w:rPr>
          <w:sz w:val="20"/>
          <w:szCs w:val="20"/>
        </w:rPr>
      </w:pPr>
      <w:r w:rsidRPr="00236F77">
        <w:rPr>
          <w:rFonts w:hint="eastAsia"/>
          <w:sz w:val="20"/>
          <w:szCs w:val="20"/>
        </w:rPr>
        <w:t>[</w:t>
      </w:r>
      <w:r w:rsidR="00EE0F1A">
        <w:rPr>
          <w:rFonts w:hint="eastAsia"/>
          <w:sz w:val="20"/>
          <w:szCs w:val="20"/>
        </w:rPr>
        <w:t>1</w:t>
      </w:r>
      <w:r w:rsidRPr="00236F77">
        <w:rPr>
          <w:rFonts w:hint="eastAsia"/>
          <w:sz w:val="20"/>
          <w:szCs w:val="20"/>
        </w:rPr>
        <w:t xml:space="preserve">] </w:t>
      </w:r>
      <w:r w:rsidR="00B92497" w:rsidRPr="00030022">
        <w:rPr>
          <w:sz w:val="20"/>
          <w:szCs w:val="20"/>
        </w:rPr>
        <w:t>R4-2002509</w:t>
      </w:r>
      <w:r w:rsidR="00030022">
        <w:rPr>
          <w:rFonts w:hint="eastAsia"/>
          <w:sz w:val="20"/>
          <w:szCs w:val="20"/>
        </w:rPr>
        <w:t xml:space="preserve">, </w:t>
      </w:r>
      <w:r w:rsidR="00030022">
        <w:rPr>
          <w:sz w:val="20"/>
          <w:szCs w:val="20"/>
        </w:rPr>
        <w:t>“</w:t>
      </w:r>
      <w:r w:rsidR="00B92497" w:rsidRPr="00030022">
        <w:rPr>
          <w:sz w:val="20"/>
          <w:szCs w:val="20"/>
        </w:rPr>
        <w:t>Email discussion summary for RAN4#94e_#80_NR_IAB_System_parameters</w:t>
      </w:r>
      <w:r w:rsidR="00030022">
        <w:rPr>
          <w:sz w:val="20"/>
          <w:szCs w:val="20"/>
        </w:rPr>
        <w:t>”</w:t>
      </w:r>
      <w:r w:rsidR="00030022">
        <w:rPr>
          <w:rFonts w:hint="eastAsia"/>
          <w:sz w:val="20"/>
          <w:szCs w:val="20"/>
        </w:rPr>
        <w:t>, Huawei</w:t>
      </w:r>
    </w:p>
    <w:p w:rsidR="00D31A83" w:rsidRPr="00236F77" w:rsidRDefault="00407861" w:rsidP="00236F77">
      <w:pPr>
        <w:spacing w:before="0" w:after="120"/>
        <w:jc w:val="left"/>
        <w:rPr>
          <w:sz w:val="20"/>
          <w:szCs w:val="20"/>
        </w:rPr>
      </w:pPr>
      <w:r>
        <w:rPr>
          <w:rFonts w:hint="eastAsia"/>
          <w:sz w:val="20"/>
          <w:szCs w:val="20"/>
        </w:rPr>
        <w:t xml:space="preserve">[2] </w:t>
      </w:r>
      <w:r w:rsidR="00D31A83" w:rsidRPr="00236F77">
        <w:rPr>
          <w:sz w:val="20"/>
          <w:szCs w:val="20"/>
        </w:rPr>
        <w:t>R4-2002485</w:t>
      </w:r>
      <w:r w:rsidR="00236F77">
        <w:rPr>
          <w:rFonts w:hint="eastAsia"/>
          <w:sz w:val="20"/>
          <w:szCs w:val="20"/>
        </w:rPr>
        <w:t xml:space="preserve">, </w:t>
      </w:r>
      <w:r w:rsidR="00236F77">
        <w:rPr>
          <w:sz w:val="20"/>
          <w:szCs w:val="20"/>
        </w:rPr>
        <w:t>“</w:t>
      </w:r>
      <w:r w:rsidR="00D31A83" w:rsidRPr="00236F77">
        <w:rPr>
          <w:sz w:val="20"/>
          <w:szCs w:val="20"/>
        </w:rPr>
        <w:t>WF on IAB definitions</w:t>
      </w:r>
      <w:r w:rsidR="00236F77">
        <w:rPr>
          <w:sz w:val="20"/>
          <w:szCs w:val="20"/>
        </w:rPr>
        <w:t>”</w:t>
      </w:r>
      <w:r w:rsidR="00236F77">
        <w:rPr>
          <w:rFonts w:hint="eastAsia"/>
          <w:sz w:val="20"/>
          <w:szCs w:val="20"/>
        </w:rPr>
        <w:t xml:space="preserve">, </w:t>
      </w:r>
      <w:r w:rsidR="00D31A83" w:rsidRPr="00236F77">
        <w:rPr>
          <w:sz w:val="20"/>
          <w:szCs w:val="20"/>
        </w:rPr>
        <w:t>Ericsson</w:t>
      </w:r>
    </w:p>
    <w:p w:rsidR="000369CD" w:rsidRDefault="00236F77" w:rsidP="00236F77">
      <w:pPr>
        <w:spacing w:before="0" w:after="120"/>
        <w:jc w:val="left"/>
        <w:rPr>
          <w:sz w:val="20"/>
          <w:szCs w:val="20"/>
        </w:rPr>
      </w:pPr>
      <w:r w:rsidRPr="00236F77">
        <w:rPr>
          <w:rFonts w:hint="eastAsia"/>
          <w:sz w:val="20"/>
          <w:szCs w:val="20"/>
        </w:rPr>
        <w:t>[</w:t>
      </w:r>
      <w:r w:rsidR="00407861">
        <w:rPr>
          <w:rFonts w:hint="eastAsia"/>
          <w:sz w:val="20"/>
          <w:szCs w:val="20"/>
        </w:rPr>
        <w:t>3</w:t>
      </w:r>
      <w:r w:rsidRPr="00236F77">
        <w:rPr>
          <w:rFonts w:hint="eastAsia"/>
          <w:sz w:val="20"/>
          <w:szCs w:val="20"/>
        </w:rPr>
        <w:t xml:space="preserve">] </w:t>
      </w:r>
      <w:r w:rsidR="00D31A83" w:rsidRPr="00236F77">
        <w:rPr>
          <w:sz w:val="20"/>
          <w:szCs w:val="20"/>
        </w:rPr>
        <w:t>R4-2002489</w:t>
      </w:r>
      <w:r>
        <w:rPr>
          <w:rFonts w:hint="eastAsia"/>
          <w:sz w:val="20"/>
          <w:szCs w:val="20"/>
        </w:rPr>
        <w:t xml:space="preserve">, </w:t>
      </w:r>
      <w:r>
        <w:rPr>
          <w:sz w:val="20"/>
          <w:szCs w:val="20"/>
        </w:rPr>
        <w:t>“</w:t>
      </w:r>
      <w:r w:rsidR="00D31A83" w:rsidRPr="00236F77">
        <w:rPr>
          <w:sz w:val="20"/>
          <w:szCs w:val="20"/>
        </w:rPr>
        <w:t>WF on CA and multi-carrier agreements</w:t>
      </w:r>
      <w:r>
        <w:rPr>
          <w:sz w:val="20"/>
          <w:szCs w:val="20"/>
        </w:rPr>
        <w:t>”</w:t>
      </w:r>
      <w:r>
        <w:rPr>
          <w:rFonts w:hint="eastAsia"/>
          <w:sz w:val="20"/>
          <w:szCs w:val="20"/>
        </w:rPr>
        <w:t xml:space="preserve">, </w:t>
      </w:r>
      <w:r w:rsidR="00D31A83" w:rsidRPr="00236F77">
        <w:rPr>
          <w:sz w:val="20"/>
          <w:szCs w:val="20"/>
        </w:rPr>
        <w:t>Ericsson</w:t>
      </w:r>
    </w:p>
    <w:p w:rsidR="00407861" w:rsidRDefault="00407861" w:rsidP="00236F77">
      <w:pPr>
        <w:spacing w:before="0" w:after="120"/>
        <w:jc w:val="left"/>
        <w:rPr>
          <w:sz w:val="20"/>
          <w:szCs w:val="20"/>
        </w:rPr>
      </w:pPr>
      <w:r>
        <w:rPr>
          <w:rFonts w:hint="eastAsia"/>
          <w:sz w:val="20"/>
          <w:szCs w:val="20"/>
        </w:rPr>
        <w:t xml:space="preserve">[4] </w:t>
      </w:r>
      <w:r w:rsidRPr="00407861">
        <w:rPr>
          <w:sz w:val="20"/>
          <w:szCs w:val="20"/>
        </w:rPr>
        <w:t>R4-2001186</w:t>
      </w:r>
      <w:r>
        <w:rPr>
          <w:rFonts w:hint="eastAsia"/>
          <w:sz w:val="20"/>
          <w:szCs w:val="20"/>
        </w:rPr>
        <w:t>,</w:t>
      </w:r>
      <w:r w:rsidRPr="00407861">
        <w:rPr>
          <w:rFonts w:hint="eastAsia"/>
          <w:sz w:val="20"/>
          <w:szCs w:val="20"/>
        </w:rPr>
        <w:t xml:space="preserve"> </w:t>
      </w:r>
      <w:r>
        <w:rPr>
          <w:sz w:val="20"/>
          <w:szCs w:val="20"/>
        </w:rPr>
        <w:t>“</w:t>
      </w:r>
      <w:r w:rsidRPr="00407861">
        <w:rPr>
          <w:sz w:val="20"/>
          <w:szCs w:val="20"/>
        </w:rPr>
        <w:t>On multicarrier and CA for IAB</w:t>
      </w:r>
      <w:r>
        <w:rPr>
          <w:sz w:val="20"/>
          <w:szCs w:val="20"/>
        </w:rPr>
        <w:t>”</w:t>
      </w:r>
      <w:r>
        <w:rPr>
          <w:rFonts w:hint="eastAsia"/>
          <w:sz w:val="20"/>
          <w:szCs w:val="20"/>
        </w:rPr>
        <w:t>,</w:t>
      </w:r>
      <w:r w:rsidRPr="00407861">
        <w:rPr>
          <w:rFonts w:hint="eastAsia"/>
          <w:sz w:val="20"/>
          <w:szCs w:val="20"/>
        </w:rPr>
        <w:t xml:space="preserve"> </w:t>
      </w:r>
      <w:r w:rsidRPr="00407861">
        <w:rPr>
          <w:sz w:val="20"/>
          <w:szCs w:val="20"/>
        </w:rPr>
        <w:t>Ericsson</w:t>
      </w:r>
    </w:p>
    <w:p w:rsidR="00030022" w:rsidRDefault="00030022" w:rsidP="00236F77">
      <w:pPr>
        <w:spacing w:before="0" w:after="120"/>
        <w:jc w:val="left"/>
        <w:rPr>
          <w:sz w:val="20"/>
          <w:szCs w:val="20"/>
        </w:rPr>
      </w:pPr>
      <w:r>
        <w:rPr>
          <w:rFonts w:hint="eastAsia"/>
          <w:sz w:val="20"/>
          <w:szCs w:val="20"/>
        </w:rPr>
        <w:t xml:space="preserve">[5] </w:t>
      </w:r>
      <w:r w:rsidRPr="00030022">
        <w:rPr>
          <w:sz w:val="20"/>
          <w:szCs w:val="20"/>
        </w:rPr>
        <w:t>RP-193123</w:t>
      </w:r>
      <w:r>
        <w:rPr>
          <w:rFonts w:hint="eastAsia"/>
          <w:sz w:val="20"/>
          <w:szCs w:val="20"/>
        </w:rPr>
        <w:t>,</w:t>
      </w:r>
      <w:r w:rsidRPr="00030022">
        <w:rPr>
          <w:rFonts w:hint="eastAsia"/>
          <w:sz w:val="20"/>
          <w:szCs w:val="20"/>
        </w:rPr>
        <w:t xml:space="preserve"> </w:t>
      </w:r>
      <w:r>
        <w:rPr>
          <w:sz w:val="20"/>
          <w:szCs w:val="20"/>
        </w:rPr>
        <w:t>“</w:t>
      </w:r>
      <w:r w:rsidRPr="00030022">
        <w:rPr>
          <w:sz w:val="20"/>
          <w:szCs w:val="20"/>
        </w:rPr>
        <w:t>Introduction of integrated access and backhaul in NR</w:t>
      </w:r>
      <w:r>
        <w:rPr>
          <w:sz w:val="20"/>
          <w:szCs w:val="20"/>
        </w:rPr>
        <w:t>”</w:t>
      </w:r>
      <w:r>
        <w:rPr>
          <w:rFonts w:hint="eastAsia"/>
          <w:sz w:val="20"/>
          <w:szCs w:val="20"/>
        </w:rPr>
        <w:t>,</w:t>
      </w:r>
      <w:r w:rsidRPr="00030022">
        <w:rPr>
          <w:rFonts w:hint="eastAsia"/>
          <w:sz w:val="20"/>
          <w:szCs w:val="20"/>
        </w:rPr>
        <w:t xml:space="preserve"> </w:t>
      </w:r>
      <w:r w:rsidRPr="00030022">
        <w:rPr>
          <w:sz w:val="20"/>
          <w:szCs w:val="20"/>
        </w:rPr>
        <w:t>Samsung</w:t>
      </w:r>
    </w:p>
    <w:p w:rsidR="00BC23DC" w:rsidRDefault="00BC23DC" w:rsidP="00236F77">
      <w:pPr>
        <w:spacing w:before="0" w:after="120"/>
        <w:jc w:val="left"/>
        <w:rPr>
          <w:sz w:val="20"/>
          <w:szCs w:val="20"/>
        </w:rPr>
      </w:pPr>
      <w:r>
        <w:rPr>
          <w:rFonts w:hint="eastAsia"/>
          <w:sz w:val="20"/>
          <w:szCs w:val="20"/>
        </w:rPr>
        <w:t>[6]</w:t>
      </w:r>
      <w:r w:rsidR="005C75BC">
        <w:rPr>
          <w:rFonts w:hint="eastAsia"/>
          <w:sz w:val="20"/>
          <w:szCs w:val="20"/>
        </w:rPr>
        <w:t xml:space="preserve"> </w:t>
      </w:r>
      <w:r w:rsidRPr="00BC23DC">
        <w:rPr>
          <w:sz w:val="20"/>
          <w:szCs w:val="20"/>
        </w:rPr>
        <w:t>R4-2002486</w:t>
      </w:r>
      <w:r>
        <w:rPr>
          <w:rFonts w:hint="eastAsia"/>
          <w:sz w:val="20"/>
          <w:szCs w:val="20"/>
        </w:rPr>
        <w:t xml:space="preserve">, </w:t>
      </w:r>
      <w:r>
        <w:rPr>
          <w:sz w:val="20"/>
          <w:szCs w:val="20"/>
        </w:rPr>
        <w:t>“</w:t>
      </w:r>
      <w:r w:rsidRPr="00BC23DC">
        <w:rPr>
          <w:sz w:val="20"/>
          <w:szCs w:val="20"/>
        </w:rPr>
        <w:t>[IAB] TP to TS 38.174, clause 4</w:t>
      </w:r>
      <w:r>
        <w:rPr>
          <w:sz w:val="20"/>
          <w:szCs w:val="20"/>
        </w:rPr>
        <w:t>”</w:t>
      </w:r>
      <w:r>
        <w:rPr>
          <w:rFonts w:hint="eastAsia"/>
          <w:sz w:val="20"/>
          <w:szCs w:val="20"/>
        </w:rPr>
        <w:t>, Huawei</w:t>
      </w:r>
    </w:p>
    <w:p w:rsidR="000761F6" w:rsidRPr="00BC23DC" w:rsidRDefault="000761F6" w:rsidP="00236F77">
      <w:pPr>
        <w:spacing w:before="0" w:after="120"/>
        <w:jc w:val="left"/>
        <w:rPr>
          <w:sz w:val="20"/>
          <w:szCs w:val="20"/>
        </w:rPr>
      </w:pPr>
      <w:r>
        <w:rPr>
          <w:rFonts w:hint="eastAsia"/>
          <w:sz w:val="20"/>
          <w:szCs w:val="20"/>
        </w:rPr>
        <w:t>[7] TR 38.874</w:t>
      </w:r>
    </w:p>
    <w:sectPr w:rsidR="000761F6" w:rsidRPr="00BC23DC"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A34" w:rsidRDefault="00834A34" w:rsidP="0095591C">
      <w:pPr>
        <w:spacing w:after="60"/>
        <w:ind w:left="210"/>
      </w:pPr>
      <w:r>
        <w:separator/>
      </w:r>
    </w:p>
  </w:endnote>
  <w:endnote w:type="continuationSeparator" w:id="0">
    <w:p w:rsidR="00834A34" w:rsidRDefault="00834A3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716F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A34" w:rsidRDefault="00834A34" w:rsidP="0095591C">
      <w:pPr>
        <w:spacing w:after="60"/>
        <w:ind w:left="210"/>
      </w:pPr>
      <w:r>
        <w:separator/>
      </w:r>
    </w:p>
  </w:footnote>
  <w:footnote w:type="continuationSeparator" w:id="0">
    <w:p w:rsidR="00834A34" w:rsidRDefault="00834A3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4306F6"/>
    <w:multiLevelType w:val="hybridMultilevel"/>
    <w:tmpl w:val="629EC704"/>
    <w:lvl w:ilvl="0" w:tplc="583C729E">
      <w:start w:val="1"/>
      <w:numFmt w:val="bullet"/>
      <w:lvlText w:val="•"/>
      <w:lvlJc w:val="left"/>
      <w:pPr>
        <w:tabs>
          <w:tab w:val="num" w:pos="720"/>
        </w:tabs>
        <w:ind w:left="720" w:hanging="360"/>
      </w:pPr>
      <w:rPr>
        <w:rFonts w:ascii="Arial" w:hAnsi="Arial" w:hint="default"/>
      </w:rPr>
    </w:lvl>
    <w:lvl w:ilvl="1" w:tplc="986AAE0A" w:tentative="1">
      <w:start w:val="1"/>
      <w:numFmt w:val="bullet"/>
      <w:lvlText w:val="•"/>
      <w:lvlJc w:val="left"/>
      <w:pPr>
        <w:tabs>
          <w:tab w:val="num" w:pos="1440"/>
        </w:tabs>
        <w:ind w:left="1440" w:hanging="360"/>
      </w:pPr>
      <w:rPr>
        <w:rFonts w:ascii="Arial" w:hAnsi="Arial" w:hint="default"/>
      </w:rPr>
    </w:lvl>
    <w:lvl w:ilvl="2" w:tplc="63F295E2" w:tentative="1">
      <w:start w:val="1"/>
      <w:numFmt w:val="bullet"/>
      <w:lvlText w:val="•"/>
      <w:lvlJc w:val="left"/>
      <w:pPr>
        <w:tabs>
          <w:tab w:val="num" w:pos="2160"/>
        </w:tabs>
        <w:ind w:left="2160" w:hanging="360"/>
      </w:pPr>
      <w:rPr>
        <w:rFonts w:ascii="Arial" w:hAnsi="Arial" w:hint="default"/>
      </w:rPr>
    </w:lvl>
    <w:lvl w:ilvl="3" w:tplc="9684C512" w:tentative="1">
      <w:start w:val="1"/>
      <w:numFmt w:val="bullet"/>
      <w:lvlText w:val="•"/>
      <w:lvlJc w:val="left"/>
      <w:pPr>
        <w:tabs>
          <w:tab w:val="num" w:pos="2880"/>
        </w:tabs>
        <w:ind w:left="2880" w:hanging="360"/>
      </w:pPr>
      <w:rPr>
        <w:rFonts w:ascii="Arial" w:hAnsi="Arial" w:hint="default"/>
      </w:rPr>
    </w:lvl>
    <w:lvl w:ilvl="4" w:tplc="CDD84C34" w:tentative="1">
      <w:start w:val="1"/>
      <w:numFmt w:val="bullet"/>
      <w:lvlText w:val="•"/>
      <w:lvlJc w:val="left"/>
      <w:pPr>
        <w:tabs>
          <w:tab w:val="num" w:pos="3600"/>
        </w:tabs>
        <w:ind w:left="3600" w:hanging="360"/>
      </w:pPr>
      <w:rPr>
        <w:rFonts w:ascii="Arial" w:hAnsi="Arial" w:hint="default"/>
      </w:rPr>
    </w:lvl>
    <w:lvl w:ilvl="5" w:tplc="B41C08C0" w:tentative="1">
      <w:start w:val="1"/>
      <w:numFmt w:val="bullet"/>
      <w:lvlText w:val="•"/>
      <w:lvlJc w:val="left"/>
      <w:pPr>
        <w:tabs>
          <w:tab w:val="num" w:pos="4320"/>
        </w:tabs>
        <w:ind w:left="4320" w:hanging="360"/>
      </w:pPr>
      <w:rPr>
        <w:rFonts w:ascii="Arial" w:hAnsi="Arial" w:hint="default"/>
      </w:rPr>
    </w:lvl>
    <w:lvl w:ilvl="6" w:tplc="1646C874" w:tentative="1">
      <w:start w:val="1"/>
      <w:numFmt w:val="bullet"/>
      <w:lvlText w:val="•"/>
      <w:lvlJc w:val="left"/>
      <w:pPr>
        <w:tabs>
          <w:tab w:val="num" w:pos="5040"/>
        </w:tabs>
        <w:ind w:left="5040" w:hanging="360"/>
      </w:pPr>
      <w:rPr>
        <w:rFonts w:ascii="Arial" w:hAnsi="Arial" w:hint="default"/>
      </w:rPr>
    </w:lvl>
    <w:lvl w:ilvl="7" w:tplc="8528F81C" w:tentative="1">
      <w:start w:val="1"/>
      <w:numFmt w:val="bullet"/>
      <w:lvlText w:val="•"/>
      <w:lvlJc w:val="left"/>
      <w:pPr>
        <w:tabs>
          <w:tab w:val="num" w:pos="5760"/>
        </w:tabs>
        <w:ind w:left="5760" w:hanging="360"/>
      </w:pPr>
      <w:rPr>
        <w:rFonts w:ascii="Arial" w:hAnsi="Arial" w:hint="default"/>
      </w:rPr>
    </w:lvl>
    <w:lvl w:ilvl="8" w:tplc="D91A322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multilevel"/>
    <w:tmpl w:val="D3E8FD7A"/>
    <w:lvl w:ilvl="0">
      <w:start w:val="1"/>
      <w:numFmt w:val="decimal"/>
      <w:lvlText w:val="%1."/>
      <w:lvlJc w:val="left"/>
      <w:pPr>
        <w:ind w:left="644"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8"/>
  </w:num>
  <w:num w:numId="7">
    <w:abstractNumId w:val="3"/>
  </w:num>
  <w:num w:numId="8">
    <w:abstractNumId w:val="13"/>
  </w:num>
  <w:num w:numId="9">
    <w:abstractNumId w:val="8"/>
  </w:num>
  <w:num w:numId="10">
    <w:abstractNumId w:val="17"/>
  </w:num>
  <w:num w:numId="11">
    <w:abstractNumId w:val="19"/>
  </w:num>
  <w:num w:numId="12">
    <w:abstractNumId w:val="20"/>
  </w:num>
  <w:num w:numId="13">
    <w:abstractNumId w:val="9"/>
  </w:num>
  <w:num w:numId="14">
    <w:abstractNumId w:val="10"/>
  </w:num>
  <w:num w:numId="15">
    <w:abstractNumId w:val="6"/>
  </w:num>
  <w:num w:numId="16">
    <w:abstractNumId w:val="16"/>
  </w:num>
  <w:num w:numId="17">
    <w:abstractNumId w:val="0"/>
  </w:num>
  <w:num w:numId="18">
    <w:abstractNumId w:val="7"/>
  </w:num>
  <w:num w:numId="19">
    <w:abstractNumId w:val="11"/>
  </w:num>
  <w:num w:numId="20">
    <w:abstractNumId w:val="15"/>
  </w:num>
  <w:num w:numId="2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71E"/>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6E7"/>
    <w:rsid w:val="0003002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1F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DE"/>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2E75"/>
    <w:rsid w:val="000F35D8"/>
    <w:rsid w:val="000F4100"/>
    <w:rsid w:val="000F44E5"/>
    <w:rsid w:val="000F4964"/>
    <w:rsid w:val="000F4AE4"/>
    <w:rsid w:val="000F6CA6"/>
    <w:rsid w:val="000F6E81"/>
    <w:rsid w:val="000F6F9C"/>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1A"/>
    <w:rsid w:val="0018284D"/>
    <w:rsid w:val="00182A33"/>
    <w:rsid w:val="00182CB9"/>
    <w:rsid w:val="00183510"/>
    <w:rsid w:val="00183D3B"/>
    <w:rsid w:val="001846BF"/>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2D4"/>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4DE5"/>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46"/>
    <w:rsid w:val="00202E88"/>
    <w:rsid w:val="00202FAC"/>
    <w:rsid w:val="002035BD"/>
    <w:rsid w:val="00203E0A"/>
    <w:rsid w:val="0020446D"/>
    <w:rsid w:val="00205F4D"/>
    <w:rsid w:val="002063B3"/>
    <w:rsid w:val="00206CB8"/>
    <w:rsid w:val="00206DBA"/>
    <w:rsid w:val="002116DB"/>
    <w:rsid w:val="002118A8"/>
    <w:rsid w:val="00212CEE"/>
    <w:rsid w:val="00212F5C"/>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F77"/>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16F8"/>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3FC1"/>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592"/>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B0E"/>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86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42CD"/>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89F"/>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3EE1"/>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BC"/>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5A2B"/>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19E"/>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7DB"/>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2EE6"/>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B26"/>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2D4F"/>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5E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CF9"/>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4A3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1BF"/>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2B8D"/>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0BB9"/>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FDE"/>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08B"/>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DFA"/>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7E"/>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409"/>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E96"/>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3796"/>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09"/>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497"/>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CF5"/>
    <w:rsid w:val="00BB1E9A"/>
    <w:rsid w:val="00BB2BFA"/>
    <w:rsid w:val="00BB2D6A"/>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3DC"/>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34A"/>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058"/>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CCD"/>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44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44F7"/>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1A83"/>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87734"/>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35EB"/>
    <w:rsid w:val="00DE54A4"/>
    <w:rsid w:val="00DE700B"/>
    <w:rsid w:val="00DE7771"/>
    <w:rsid w:val="00DE794C"/>
    <w:rsid w:val="00DE7A50"/>
    <w:rsid w:val="00DE7B91"/>
    <w:rsid w:val="00DF0608"/>
    <w:rsid w:val="00DF1C22"/>
    <w:rsid w:val="00DF2005"/>
    <w:rsid w:val="00DF27D0"/>
    <w:rsid w:val="00DF27E9"/>
    <w:rsid w:val="00DF2B6C"/>
    <w:rsid w:val="00DF3308"/>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22"/>
    <w:rsid w:val="00E026BF"/>
    <w:rsid w:val="00E02795"/>
    <w:rsid w:val="00E0419C"/>
    <w:rsid w:val="00E0445D"/>
    <w:rsid w:val="00E04D77"/>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5749"/>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C34"/>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0F1A"/>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018"/>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045"/>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5314811">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3562071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2601966">
      <w:bodyDiv w:val="1"/>
      <w:marLeft w:val="0"/>
      <w:marRight w:val="0"/>
      <w:marTop w:val="0"/>
      <w:marBottom w:val="0"/>
      <w:divBdr>
        <w:top w:val="none" w:sz="0" w:space="0" w:color="auto"/>
        <w:left w:val="none" w:sz="0" w:space="0" w:color="auto"/>
        <w:bottom w:val="none" w:sz="0" w:space="0" w:color="auto"/>
        <w:right w:val="none" w:sz="0" w:space="0" w:color="auto"/>
      </w:divBdr>
      <w:divsChild>
        <w:div w:id="2114083604">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7328042">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4482108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6397432">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0233279">
      <w:bodyDiv w:val="1"/>
      <w:marLeft w:val="0"/>
      <w:marRight w:val="0"/>
      <w:marTop w:val="0"/>
      <w:marBottom w:val="0"/>
      <w:divBdr>
        <w:top w:val="none" w:sz="0" w:space="0" w:color="auto"/>
        <w:left w:val="none" w:sz="0" w:space="0" w:color="auto"/>
        <w:bottom w:val="none" w:sz="0" w:space="0" w:color="auto"/>
        <w:right w:val="none" w:sz="0" w:space="0" w:color="auto"/>
      </w:divBdr>
      <w:divsChild>
        <w:div w:id="1652906483">
          <w:marLeft w:val="360"/>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03005-78C8-4835-8654-05EFB33DA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1933</TotalTime>
  <Pages>2</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Shan Huiping</cp:lastModifiedBy>
  <cp:revision>116</cp:revision>
  <cp:lastPrinted>2007-04-24T00:59:00Z</cp:lastPrinted>
  <dcterms:created xsi:type="dcterms:W3CDTF">2020-01-22T05:22:00Z</dcterms:created>
  <dcterms:modified xsi:type="dcterms:W3CDTF">2020-04-10T08:36:00Z</dcterms:modified>
</cp:coreProperties>
</file>